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IVÁNCI TELEPÜLÉSI ÉRTÉKTÁR BIZOTTSÁG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SZERVEZETI ÉS MŰKÖDÉSI SZABÁLYZATA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Ivánc Község képviselő testülete a magyar nemzeti értékek és hungarikumok gondozásáról szóló 114/2013. (IV. 16.) Korm. rendelet 3. § (1) bekezdése alapján az Ivánci Települési Értéktár Bizottság Szervezeti és Működési Szabályzatát (továbbiakban: SzMSz) a következők szerint állapítja meg: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ÁLTALÁNOS RENDELKEZÉSEK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Bizottság hivatalos megnevezése: Ivánci Települési Értéktár Bizottság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Bizottság rövidített neve: ITÉB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Bizottság székhelye: 9931 Ivánc, Kossuth Lajos u. 119.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Bizottság létszáma 4 fő, tagjainak névsorát az 1. sz. melléklet tartalmazza.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BIZOTTSÁG FELADAT- ÉS HATÁSKÖRE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Times New Roman"/>
          <w:sz w:val="24"/>
          <w:szCs w:val="24"/>
          <w:lang w:eastAsia="hu-HU"/>
        </w:rPr>
      </w:pPr>
      <w:r>
        <w:rPr>
          <w:sz w:val="24"/>
          <w:szCs w:val="24"/>
        </w:rPr>
        <w:t xml:space="preserve">A Bizottság feladat- és hatáskörét a </w:t>
      </w:r>
      <w:r>
        <w:rPr>
          <w:rFonts w:eastAsia="Times New Roman"/>
          <w:sz w:val="24"/>
          <w:szCs w:val="24"/>
          <w:lang w:eastAsia="hu-HU"/>
        </w:rPr>
        <w:t xml:space="preserve">magyar nemzeti értékekről és hungarikumokról szóló 2012. évi XXX. törvény és a magyar nemzeti értékek és hungarikumok gondozásáról szóló 114/2013. (IV.16.) Korm. rendelet tartalmazza.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Bizottság szervezi az Iváncon fellelhető nemzeti értékek azonosítását és létrehozza a nemzeti értékek adatait tartalmazó gyűjteményt.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Bizottság a nemzeti értékek adatait megküldi a Megyei Értéktár részére, felterjesztéseket kezdeményez az adott nemzeti érték Megyei Értéktárba, Magyar Értéktárba, valamint Hungarikummá minősítése érdekében.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Bizottság, munkája során együttműködést alakít ki a helyi és a megyei közművelődési feladatellátás országos módszertani intézményével (NMI), valamint az értékek gyűjtésével, megőrzésével és hasznosításával foglalkozó szakmai (múzeum, levéltár stb.) és civil szervezetekkel.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Bizottság dönt a rendelkezésére álló pénzeszközök felhasználásáról.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III.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BIZOTTSÁG MŰKÖDÉSE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A Bizottság tevékenységét a magyar nemzeti értékekről és hungarikumokról szóló </w:t>
      </w:r>
      <w:r>
        <w:rPr>
          <w:rFonts w:eastAsia="Times New Roman"/>
          <w:sz w:val="24"/>
          <w:szCs w:val="24"/>
          <w:lang w:eastAsia="hu-HU"/>
        </w:rPr>
        <w:t xml:space="preserve">2012. évi XXX. törvény, valamint a magyar nemzeti értékek és hungarikumok gondozásáról szóló 114/2013. (IV.16.) Korm. rendelet </w:t>
      </w:r>
      <w:r>
        <w:rPr>
          <w:sz w:val="24"/>
          <w:szCs w:val="24"/>
        </w:rPr>
        <w:t xml:space="preserve">és az e szabályzatban foglaltak szerint végzi. 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A Bizottság, szakmai tevékenységét jelen SzMSz 2. számú mellékletben meghatározott </w:t>
      </w:r>
      <w:r>
        <w:rPr>
          <w:i/>
          <w:sz w:val="24"/>
          <w:szCs w:val="24"/>
        </w:rPr>
        <w:t xml:space="preserve">„Szakmai koncepció- és tematika Ivánc nemzeti értékeinek gyűjtésére, archiválására és gondozására” </w:t>
      </w:r>
      <w:r>
        <w:rPr>
          <w:sz w:val="24"/>
          <w:szCs w:val="24"/>
        </w:rPr>
        <w:t>alapján végzi, figyelemmel az 1. pontban hivatkozott törvény és annak végrehajtási rendeletében foglaltakra</w:t>
      </w:r>
      <w:r>
        <w:rPr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>A Bizottság szakmai munkájának eredményessége érdekében külső személyeket vonhat be.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A Bizottság törekszik Ivánc nemzeti értékeinek széleskörű megismertetésére és azok elfogadtatására hazánkban és külföldön egyaránt. Ennek érdekében szakmai programjainak megvalósítása során kapcsolatépítésre törekszik az ágazati szakminisztériumokkal és a külhoni magyarság szervezeteivel, a külföldön működő kulturális intézetekkel, valamint Magyar Állandó Értekezlettel. 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Az Ivánc Települési Értéktár Bizottság a nemzeti értékek külhonban való fellelhetősége érdekében együttműködéseket kíván kialakítani a külföldön működő szakmai- és civil szervezetekkel, különös tekintettel Ausztria magyar vonatkozású településeire. 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>A Bizottság üléseit szükség szerint, de legalább évente kétszer (februárban és szeptemberben) tartja.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>A Bizottság félévente, legkésőbb a félévet követő hónap utolsó napjáig (február 28. és szeptember 28.) tevékenységéről beszámol Ivánc Község képviselő testületének.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>A Bizottság üléseit az elnök hívja össze. A Bizottság ülésére írásbeli meghívó készül, az ülésekre vonatkozó előterjesztések szintén írásban történnek. A meghívót, illetve az előterjesztéseket a Bizottság tagjai az ülést megelőző 3. nap elektronikus úton kapják meg. Indokolt esetben a Bizottság telefonon keresztül is összehívható.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szCs w:val="24"/>
        </w:rPr>
        <w:t xml:space="preserve">A Bizottság ülései nyilvánosak, ezért az ülések időpontjáról, a napi rendi pontokról a Községen élőket a hirdetőtáblán vagy a </w:t>
      </w:r>
      <w:hyperlink r:id="rId2">
        <w:r>
          <w:rPr>
            <w:rStyle w:val="Internethivatkozs"/>
            <w:sz w:val="24"/>
            <w:szCs w:val="24"/>
          </w:rPr>
          <w:t>www.ivanc.hu</w:t>
        </w:r>
      </w:hyperlink>
      <w:r>
        <w:rPr>
          <w:sz w:val="24"/>
          <w:szCs w:val="24"/>
        </w:rPr>
        <w:t xml:space="preserve"> honlapon vagy a Község helyi lapjában kell tájékoztatni.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>A megnyitott üléseken további napi rendi pontok - indokolt esetben - szóban is előterjeszthetők.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>A Bizottság elnökét akadályoztatása esetén a Bizottság elnök által felkért tagja helyettesíti.</w:t>
      </w:r>
    </w:p>
    <w:p>
      <w:pPr>
        <w:pStyle w:val="ListParagraph"/>
        <w:numPr>
          <w:ilvl w:val="0"/>
          <w:numId w:val="3"/>
        </w:numPr>
        <w:rPr>
          <w:i/>
          <w:i/>
          <w:sz w:val="24"/>
          <w:szCs w:val="24"/>
        </w:rPr>
      </w:pPr>
      <w:r>
        <w:rPr>
          <w:sz w:val="24"/>
          <w:szCs w:val="24"/>
        </w:rPr>
        <w:t>A Bizottság működésének szervezési és adminisztrációs feltételeit Ivánc Község Polgármesteri Hivatala biztosítja.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BIZOTTSÁG HATÁROZATKÉPESSÉGE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Bizottság határozatképességéhez a megválasztott tagok több mint a felének jelen kell lennie. A bizottsági tagok, jelenlétüket a jelenléti íven rögzítik, amely alapján határozza meg az elnök a Bizottság határozatképességét. 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Az ülést az elnök nyitja meg, egyúttal javaslatot tesz a napi rendi pontok tárgyalására. A napi rendi pontokra vonatkozó javaslatot bizottsági határozatban kell elfogadni. 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Bizottság elnöke napi rendi pontonként megnyitja, vezeti, összefoglalja és lezárja az adott napi rendi pontra vonatkozó történéseket.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Bizottság elnökének napi rendi pontonként kell szavazásra bocsátania az adott napi rendi pontra vonatkozó határozati javaslatot. Minden napi rendi pont határozatot von maga után.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bizottsági ülés következetes munkamenetének betartása érdekében az elnök figyelmeztetheti azt a hozzászólót, aki eltér a tárgyalt témától. Amennyiben ez eredménytelen az elnök megvonja tőle a szót. Az elnök joga és kötelezettsége rendre utasítani azt a részt vevőt, aki a Bizottság munkájához méltatlan és a Bizottsági irányába zavaró magatartást tanúsít. </w:t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42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>
      <w:pPr>
        <w:pStyle w:val="Normal"/>
        <w:ind w:left="705" w:hanging="42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DÖNTÉSHOZATAL</w:t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Bizottság tagja döntéshozatalkor „igen”-nel vagy „nem”-mel szavazhat, illetve tartózkodhat a szavazástól.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Bizottság döntéseit nyílt szavazással (kézfelemeléssel), egyszerű többséggel hozza.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Azonos szavazat esetén az elnök szavazata dönt.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Bizottság döntéseit, állásfoglalásait, véleményét, javaslatait és észrevételeit határozat formájában hozza.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határozatokat egyenként, folyamatos sorszámmal és évszámmal kell ellátni, feltüntetve azokon a döntéshozatal hónapját és napját, valamint Ivánc Települési Értéktár Bizottság rövidített nevét (ITÉB).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JEGYZŐKÖNYVVEZETÉS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Bizottság üléseiről jegyzőkönyvet kell vezetni, az ülés megkezdésekor jegyzőkönyvvezetőt kell választani.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jegyzőkönyvnek tartalmaznia kell: az ülés időpontját és helyét, a jelenlévők neveit, tárgyalt napi rendi pontokat, hozott határozatokat, a Bizottság javaslatait, állásfoglalásait és észrevételeit, szavazások számszerű eredményeit.  A Bizottság elnökének és a jegyzőkönyv vezetőjének aláírását.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jegyzőkönyv mellékletei: tárgyalt írásbeli előterjesztések a javaslattételi lapokkal, határozatok, esetleges kiegészítések, jelenléti ív.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BIZOTTSÁG TAGJAINAK JOGAI ÉS KÖTELEZETTSÉGEI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bizottsági tagok kötelesek a Bizottság munkájában aktívan részt venni legjobb tudásuk és szakértelmük szerint.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Bizottság üléséről történő távolmaradást a tagnak előre jeleznie kell.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Bizottság tagjai tiszteletdíjban nem részesülnek – kivéve, ha azt valamilyen pályázati lehetőség biztosítja –, de a feladatuk ellátásával összefüggő költségek megtérítésére jogosultak.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Bizottság elnökének feladatai:</w:t>
      </w:r>
    </w:p>
    <w:p>
      <w:pPr>
        <w:pStyle w:val="Normal"/>
        <w:ind w:left="2124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a bizottsági ülések összehívása,</w:t>
      </w:r>
    </w:p>
    <w:p>
      <w:pPr>
        <w:pStyle w:val="Normal"/>
        <w:ind w:left="2124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a Bizottság döntéseinek nyilvántartása, közzétételéről való gondoskodás,</w:t>
      </w:r>
    </w:p>
    <w:p>
      <w:pPr>
        <w:pStyle w:val="Normal"/>
        <w:ind w:left="2124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a Bizottság képviselete külső állami, önkormányzati, társadalmi, gazdasági szervek és szervezetek előtt,</w:t>
      </w:r>
    </w:p>
    <w:p>
      <w:pPr>
        <w:pStyle w:val="Normal"/>
        <w:ind w:left="2124" w:hanging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az Ivánc Települési Értéktárba felvett nemzeti értékek Megyei Értéktár részére történő továbbítása.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ZÁRÓ RENDELKEZÉSEK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Jelen Szervezeti és Működési Szabályzat 2015. február 16. napján lép hatályba.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Végrehajtásért felelős: Gyarmati Tibor polgármester.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Kelt.: Ivánc, 2015. február 10.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sz w:val="24"/>
        <w:i w:val="false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Cs w:val="28"/>
        <w:lang w:val="hu-HU" w:eastAsia="en-US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e34"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Calibri" w:cs="Times New Roman" w:eastAsiaTheme="minorHAnsi"/>
      <w:color w:val="000000" w:themeColor="text1"/>
      <w:sz w:val="28"/>
      <w:szCs w:val="28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fe64cb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/>
      <w:sz w:val="24"/>
    </w:rPr>
  </w:style>
  <w:style w:type="character" w:styleId="ListLabel2">
    <w:name w:val="ListLabel 2"/>
    <w:qFormat/>
    <w:rPr>
      <w:i w:val="false"/>
      <w:sz w:val="24"/>
    </w:rPr>
  </w:style>
  <w:style w:type="character" w:styleId="ListLabel3">
    <w:name w:val="ListLabel 3"/>
    <w:qFormat/>
    <w:rPr>
      <w:rFonts w:cs="Times New Roman,Bold"/>
      <w:b/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i w:val="false"/>
      <w:sz w:val="24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sz w:val="24"/>
    </w:rPr>
  </w:style>
  <w:style w:type="character" w:styleId="ListLabel8">
    <w:name w:val="ListLabel 8"/>
    <w:qFormat/>
    <w:rPr>
      <w:i w:val="false"/>
      <w:sz w:val="24"/>
    </w:rPr>
  </w:style>
  <w:style w:type="character" w:styleId="ListLabel9">
    <w:name w:val="ListLabel 9"/>
    <w:qFormat/>
    <w:rPr>
      <w:b/>
      <w:sz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054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5637aa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vanc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FCDC-C0C5-4939-96D8-8A725362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LibreOffice/4.4.3.2$Windows_x86 LibreOffice_project/88805f81e9fe61362df02b9941de8e38a9b5fd16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2015-01-19T10:11:00Z</dcterms:created>
  <dc:creator>Iroda199</dc:creator>
  <dc:language>hu-HU</dc:language>
  <dcterms:modified xsi:type="dcterms:W3CDTF">2015-10-01T09:41:50Z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